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C949D" w14:textId="719EF924" w:rsidR="00B54987" w:rsidRPr="003350FD" w:rsidRDefault="21773C6F" w:rsidP="087A7F96">
      <w:pPr>
        <w:spacing w:after="160" w:line="276" w:lineRule="auto"/>
        <w:jc w:val="center"/>
        <w:rPr>
          <w:rFonts w:ascii="Palatino Linotype" w:hAnsi="Palatino Linotype" w:cs="Tahoma"/>
          <w:b/>
          <w:bCs/>
          <w:sz w:val="28"/>
          <w:szCs w:val="28"/>
        </w:rPr>
      </w:pPr>
      <w:r w:rsidRPr="003350FD">
        <w:rPr>
          <w:rFonts w:ascii="Palatino Linotype" w:hAnsi="Palatino Linotype" w:cs="Tahoma"/>
          <w:b/>
          <w:bCs/>
          <w:sz w:val="28"/>
          <w:szCs w:val="28"/>
        </w:rPr>
        <w:t xml:space="preserve">PROHLÁŠENÍ </w:t>
      </w:r>
      <w:r w:rsidR="00B54987" w:rsidRPr="003350FD">
        <w:rPr>
          <w:rFonts w:ascii="Palatino Linotype" w:hAnsi="Palatino Linotype" w:cs="Tahoma"/>
          <w:b/>
          <w:bCs/>
          <w:sz w:val="28"/>
          <w:szCs w:val="28"/>
        </w:rPr>
        <w:t xml:space="preserve">O </w:t>
      </w:r>
      <w:r w:rsidR="00316C34" w:rsidRPr="003350FD">
        <w:rPr>
          <w:rFonts w:ascii="Palatino Linotype" w:hAnsi="Palatino Linotype" w:cs="Tahoma"/>
          <w:b/>
          <w:bCs/>
          <w:sz w:val="28"/>
          <w:szCs w:val="28"/>
        </w:rPr>
        <w:t>ZACHOVÁNÍ MLČENLIVOSTI O DŮVĚRNÝCH INFORMACÍCH</w:t>
      </w:r>
    </w:p>
    <w:p w14:paraId="78BBDE20" w14:textId="77777777" w:rsidR="007605E0" w:rsidRDefault="007605E0" w:rsidP="008A4AA1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p w14:paraId="14CCE9C9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 xml:space="preserve">Obchodní </w:t>
      </w:r>
      <w:proofErr w:type="gramStart"/>
      <w:r w:rsidRPr="007605E0">
        <w:rPr>
          <w:rFonts w:ascii="Palatino Linotype" w:hAnsi="Palatino Linotype" w:cs="Tahoma"/>
          <w:i/>
          <w:szCs w:val="22"/>
          <w:highlight w:val="yellow"/>
        </w:rPr>
        <w:t>firma - doplní</w:t>
      </w:r>
      <w:proofErr w:type="gramEnd"/>
      <w:r w:rsidRPr="007605E0">
        <w:rPr>
          <w:rFonts w:ascii="Palatino Linotype" w:hAnsi="Palatino Linotype" w:cs="Tahoma"/>
          <w:i/>
          <w:szCs w:val="22"/>
          <w:highlight w:val="yellow"/>
        </w:rPr>
        <w:t xml:space="preserve"> dodavatel</w:t>
      </w:r>
      <w:r w:rsidRPr="007605E0">
        <w:rPr>
          <w:rFonts w:ascii="Palatino Linotype" w:hAnsi="Palatino Linotype" w:cs="Tahoma"/>
          <w:i/>
          <w:szCs w:val="22"/>
        </w:rPr>
        <w:t>]</w:t>
      </w:r>
      <w:r w:rsidRPr="007605E0">
        <w:rPr>
          <w:rFonts w:ascii="Palatino Linotype" w:hAnsi="Palatino Linotype" w:cs="Tahoma"/>
          <w:szCs w:val="22"/>
        </w:rPr>
        <w:t xml:space="preserve">, se sídlem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>]</w:t>
      </w:r>
      <w:r w:rsidRPr="007605E0">
        <w:rPr>
          <w:rFonts w:ascii="Palatino Linotype" w:hAnsi="Palatino Linotype" w:cs="Tahoma"/>
          <w:szCs w:val="22"/>
        </w:rPr>
        <w:t xml:space="preserve">, identifikační číslo osoby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 xml:space="preserve">], </w:t>
      </w:r>
      <w:r w:rsidRPr="007605E0">
        <w:rPr>
          <w:rFonts w:ascii="Palatino Linotype" w:hAnsi="Palatino Linotype" w:cs="Tahoma"/>
          <w:szCs w:val="22"/>
        </w:rPr>
        <w:t>zapsaná v obchodním rejstříku vedeném 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szCs w:val="22"/>
        </w:rPr>
        <w:t>] pod spisovou značkou 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szCs w:val="22"/>
        </w:rPr>
        <w:t xml:space="preserve">], zastoupená </w:t>
      </w:r>
      <w:r w:rsidRPr="007605E0">
        <w:rPr>
          <w:rFonts w:ascii="Palatino Linotype" w:hAnsi="Palatino Linotype" w:cs="Tahoma"/>
          <w:i/>
          <w:szCs w:val="22"/>
        </w:rPr>
        <w:t>[</w:t>
      </w:r>
      <w:r w:rsidRPr="007605E0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605E0">
        <w:rPr>
          <w:rFonts w:ascii="Palatino Linotype" w:hAnsi="Palatino Linotype" w:cs="Tahoma"/>
          <w:i/>
          <w:szCs w:val="22"/>
        </w:rPr>
        <w:t xml:space="preserve">] </w:t>
      </w:r>
      <w:r w:rsidRPr="007605E0">
        <w:rPr>
          <w:rFonts w:ascii="Palatino Linotype" w:hAnsi="Palatino Linotype" w:cs="Tahoma"/>
          <w:szCs w:val="22"/>
        </w:rPr>
        <w:t>(dále jen "</w:t>
      </w:r>
      <w:r w:rsidRPr="007605E0">
        <w:rPr>
          <w:rFonts w:ascii="Palatino Linotype" w:hAnsi="Palatino Linotype" w:cs="Tahoma"/>
          <w:b/>
          <w:szCs w:val="22"/>
        </w:rPr>
        <w:t>Dodavatel</w:t>
      </w:r>
      <w:r w:rsidRPr="007605E0">
        <w:rPr>
          <w:rFonts w:ascii="Palatino Linotype" w:hAnsi="Palatino Linotype" w:cs="Tahoma"/>
          <w:szCs w:val="22"/>
        </w:rPr>
        <w:t>")</w:t>
      </w:r>
    </w:p>
    <w:p w14:paraId="143171A7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b/>
          <w:szCs w:val="22"/>
        </w:rPr>
      </w:pPr>
    </w:p>
    <w:p w14:paraId="47E1DEE5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t>VZHLEDEM K TOMU, ŽE</w:t>
      </w:r>
      <w:r w:rsidRPr="007605E0">
        <w:rPr>
          <w:rFonts w:ascii="Palatino Linotype" w:hAnsi="Palatino Linotype" w:cs="Tahoma"/>
          <w:szCs w:val="22"/>
        </w:rPr>
        <w:t>:</w:t>
      </w:r>
    </w:p>
    <w:p w14:paraId="3F30DF1E" w14:textId="31D9114C" w:rsidR="007605E0" w:rsidRPr="00792A19" w:rsidRDefault="007605E0" w:rsidP="00D64115">
      <w:pPr>
        <w:pStyle w:val="Odstavecseseznamem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92A19">
        <w:rPr>
          <w:rFonts w:ascii="Palatino Linotype" w:hAnsi="Palatino Linotype" w:cs="Tahoma"/>
          <w:szCs w:val="22"/>
        </w:rPr>
        <w:t>Dodavatel má zájem na poskytnutí zadávací dokumentace za účelem účasti v zadávacím řízení s názvem</w:t>
      </w:r>
      <w:r w:rsidRPr="00792A19">
        <w:rPr>
          <w:rFonts w:ascii="Palatino Linotype" w:hAnsi="Palatino Linotype" w:cs="Tahoma"/>
          <w:i/>
          <w:szCs w:val="22"/>
        </w:rPr>
        <w:t xml:space="preserve"> </w:t>
      </w:r>
      <w:r w:rsidRPr="00792A19">
        <w:rPr>
          <w:rFonts w:ascii="Palatino Linotype" w:hAnsi="Palatino Linotype" w:cs="Tahoma"/>
          <w:szCs w:val="22"/>
        </w:rPr>
        <w:t>„</w:t>
      </w:r>
      <w:r w:rsidRPr="00792A19">
        <w:rPr>
          <w:rFonts w:ascii="Palatino Linotype" w:hAnsi="Palatino Linotype" w:cs="Tahoma"/>
          <w:i/>
          <w:iCs/>
          <w:szCs w:val="22"/>
        </w:rPr>
        <w:t>Rámcová dohoda na rozvoj systému řízení a</w:t>
      </w:r>
      <w:r w:rsidRPr="00792A19">
        <w:rPr>
          <w:rFonts w:ascii="Times New Roman" w:hAnsi="Times New Roman"/>
          <w:i/>
          <w:iCs/>
          <w:szCs w:val="22"/>
        </w:rPr>
        <w:t> </w:t>
      </w:r>
      <w:r w:rsidRPr="00792A19">
        <w:rPr>
          <w:rFonts w:ascii="Palatino Linotype" w:hAnsi="Palatino Linotype" w:cs="Tahoma"/>
          <w:i/>
          <w:iCs/>
          <w:szCs w:val="22"/>
        </w:rPr>
        <w:t>správu dokumentů v</w:t>
      </w:r>
      <w:r w:rsidRPr="00792A19">
        <w:rPr>
          <w:rFonts w:ascii="Times New Roman" w:hAnsi="Times New Roman"/>
          <w:i/>
          <w:iCs/>
          <w:szCs w:val="22"/>
        </w:rPr>
        <w:t> </w:t>
      </w:r>
      <w:r w:rsidRPr="00792A19">
        <w:rPr>
          <w:rFonts w:ascii="Palatino Linotype" w:hAnsi="Palatino Linotype" w:cs="Tahoma"/>
          <w:i/>
          <w:iCs/>
          <w:szCs w:val="22"/>
        </w:rPr>
        <w:t>rámci CSS TSB</w:t>
      </w:r>
      <w:r w:rsidRPr="00792A19">
        <w:rPr>
          <w:rFonts w:ascii="Palatino Linotype" w:hAnsi="Palatino Linotype" w:cs="Tahoma"/>
          <w:i/>
          <w:szCs w:val="22"/>
        </w:rPr>
        <w:t>”</w:t>
      </w:r>
      <w:r w:rsidRPr="00792A19">
        <w:rPr>
          <w:rFonts w:ascii="Palatino Linotype" w:hAnsi="Palatino Linotype" w:cs="Tahoma"/>
          <w:szCs w:val="22"/>
        </w:rPr>
        <w:t xml:space="preserve">, ev. Č. VVZ: </w:t>
      </w:r>
      <w:r w:rsidRPr="00792A19">
        <w:rPr>
          <w:rFonts w:ascii="Palatino Linotype" w:hAnsi="Palatino Linotype" w:cs="Tahoma"/>
          <w:i/>
          <w:szCs w:val="22"/>
        </w:rPr>
        <w:t>[</w:t>
      </w:r>
      <w:r w:rsidRPr="00792A19">
        <w:rPr>
          <w:rFonts w:ascii="Palatino Linotype" w:hAnsi="Palatino Linotype" w:cs="Tahoma"/>
          <w:i/>
          <w:szCs w:val="22"/>
          <w:highlight w:val="yellow"/>
        </w:rPr>
        <w:t>doplní dodavatel</w:t>
      </w:r>
      <w:r w:rsidRPr="00792A19">
        <w:rPr>
          <w:rFonts w:ascii="Palatino Linotype" w:hAnsi="Palatino Linotype" w:cs="Tahoma"/>
          <w:i/>
          <w:szCs w:val="22"/>
        </w:rPr>
        <w:t>]</w:t>
      </w:r>
      <w:r w:rsidRPr="00792A19">
        <w:rPr>
          <w:rFonts w:ascii="Palatino Linotype" w:hAnsi="Palatino Linotype" w:cs="Tahoma"/>
          <w:szCs w:val="22"/>
        </w:rPr>
        <w:t xml:space="preserve"> (dále jen "</w:t>
      </w:r>
      <w:r w:rsidRPr="00792A19">
        <w:rPr>
          <w:rFonts w:ascii="Palatino Linotype" w:hAnsi="Palatino Linotype" w:cs="Tahoma"/>
          <w:b/>
          <w:szCs w:val="22"/>
        </w:rPr>
        <w:t>Zadávací řízení</w:t>
      </w:r>
      <w:r w:rsidRPr="00792A19">
        <w:rPr>
          <w:rFonts w:ascii="Palatino Linotype" w:hAnsi="Palatino Linotype" w:cs="Tahoma"/>
          <w:szCs w:val="22"/>
        </w:rPr>
        <w:t>") zadavatele Technické sítě Brno, akciová společnost, IČO: 255 12 285, se sídlem Barvířská 822/5, Zábrdovice, 602 00 Brno (dále jen "</w:t>
      </w:r>
      <w:r w:rsidRPr="00792A19">
        <w:rPr>
          <w:rFonts w:ascii="Palatino Linotype" w:hAnsi="Palatino Linotype" w:cs="Tahoma"/>
          <w:b/>
          <w:szCs w:val="22"/>
        </w:rPr>
        <w:t>Zadavatel</w:t>
      </w:r>
      <w:r w:rsidRPr="00792A19">
        <w:rPr>
          <w:rFonts w:ascii="Palatino Linotype" w:hAnsi="Palatino Linotype" w:cs="Tahoma"/>
          <w:szCs w:val="22"/>
        </w:rPr>
        <w:t>").</w:t>
      </w:r>
    </w:p>
    <w:p w14:paraId="50EC5944" w14:textId="39887A4F" w:rsidR="007605E0" w:rsidRPr="00277C1D" w:rsidRDefault="007605E0" w:rsidP="00D64115">
      <w:pPr>
        <w:pStyle w:val="Odstavecseseznamem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Součástí zadávací dokumentace pro Zadávací řízení jsou dokumenty obsahující informace označené Zadavatelem jako důvěrné. Důvěrné informace jsou obsaženy v:</w:t>
      </w:r>
    </w:p>
    <w:p w14:paraId="1629579A" w14:textId="4BE3C460" w:rsidR="007605E0" w:rsidRPr="007605E0" w:rsidRDefault="007605E0" w:rsidP="00D64115">
      <w:pPr>
        <w:numPr>
          <w:ilvl w:val="0"/>
          <w:numId w:val="17"/>
        </w:num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Příloze č. </w:t>
      </w:r>
      <w:r>
        <w:rPr>
          <w:rFonts w:ascii="Palatino Linotype" w:hAnsi="Palatino Linotype" w:cs="Tahoma"/>
          <w:szCs w:val="22"/>
        </w:rPr>
        <w:t>9 Rámcové dohody</w:t>
      </w:r>
      <w:r w:rsidRPr="007605E0">
        <w:rPr>
          <w:rFonts w:ascii="Palatino Linotype" w:hAnsi="Palatino Linotype" w:cs="Tahoma"/>
          <w:szCs w:val="22"/>
        </w:rPr>
        <w:t xml:space="preserve"> – Standard systémové bezpečnosti</w:t>
      </w:r>
    </w:p>
    <w:p w14:paraId="4B1276E0" w14:textId="77777777" w:rsidR="007605E0" w:rsidRPr="007605E0" w:rsidRDefault="007605E0" w:rsidP="00D64115">
      <w:pPr>
        <w:spacing w:after="160" w:line="276" w:lineRule="auto"/>
        <w:ind w:left="276" w:firstLine="708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(dále jen "</w:t>
      </w:r>
      <w:r w:rsidRPr="007605E0">
        <w:rPr>
          <w:rFonts w:ascii="Palatino Linotype" w:hAnsi="Palatino Linotype" w:cs="Tahoma"/>
          <w:b/>
          <w:szCs w:val="22"/>
        </w:rPr>
        <w:t>Předmětná část ZD</w:t>
      </w:r>
      <w:r w:rsidRPr="007605E0">
        <w:rPr>
          <w:rFonts w:ascii="Palatino Linotype" w:hAnsi="Palatino Linotype" w:cs="Tahoma"/>
          <w:szCs w:val="22"/>
        </w:rPr>
        <w:t>").</w:t>
      </w:r>
    </w:p>
    <w:p w14:paraId="1E67579A" w14:textId="5CBC0F58" w:rsidR="007605E0" w:rsidRPr="00277C1D" w:rsidRDefault="007605E0" w:rsidP="00D64115">
      <w:pPr>
        <w:pStyle w:val="Odstavecseseznamem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Zadavatel podmiňuje poskytnutí této Předmětné části ZD přijetím přiměřených opatření k ochraně důvěrné povahy informací obsažených v této části zadávací dokumentace, a to v souladu s § 96 odst. 2 ve spojení s § 36 odst. 8 zákona č. 134/2016 Sb., o zadávání veřejných zakázek, ve znění pozdějších předpisů. Jako přiměřené opatření ve smyslu tohoto odstavce určil Zadavatel povinnost Dodavatele předložit toto prohlášení o zachování mlčenlivosti o</w:t>
      </w:r>
      <w:r w:rsidR="00792A19" w:rsidRPr="00277C1D">
        <w:rPr>
          <w:rFonts w:ascii="Palatino Linotype" w:hAnsi="Palatino Linotype" w:cs="Tahoma"/>
          <w:szCs w:val="22"/>
        </w:rPr>
        <w:t> </w:t>
      </w:r>
      <w:r w:rsidRPr="00277C1D">
        <w:rPr>
          <w:rFonts w:ascii="Palatino Linotype" w:hAnsi="Palatino Linotype" w:cs="Tahoma"/>
          <w:szCs w:val="22"/>
        </w:rPr>
        <w:t>důvěrných informacích (dále jen "</w:t>
      </w:r>
      <w:r w:rsidRPr="00277C1D">
        <w:rPr>
          <w:rFonts w:ascii="Palatino Linotype" w:hAnsi="Palatino Linotype" w:cs="Tahoma"/>
          <w:b/>
          <w:szCs w:val="22"/>
        </w:rPr>
        <w:t>Prohlášení</w:t>
      </w:r>
      <w:r w:rsidRPr="00277C1D">
        <w:rPr>
          <w:rFonts w:ascii="Palatino Linotype" w:hAnsi="Palatino Linotype" w:cs="Tahoma"/>
          <w:szCs w:val="22"/>
        </w:rPr>
        <w:t>").</w:t>
      </w:r>
    </w:p>
    <w:p w14:paraId="7D987BD1" w14:textId="7A0FDB55" w:rsidR="007605E0" w:rsidRPr="00277C1D" w:rsidRDefault="007605E0" w:rsidP="00D64115">
      <w:pPr>
        <w:pStyle w:val="Odstavecseseznamem"/>
        <w:numPr>
          <w:ilvl w:val="0"/>
          <w:numId w:val="18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277C1D">
        <w:rPr>
          <w:rFonts w:ascii="Palatino Linotype" w:hAnsi="Palatino Linotype" w:cs="Tahoma"/>
          <w:szCs w:val="22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</w:p>
    <w:p w14:paraId="04F5C8AF" w14:textId="4AAF73D9" w:rsidR="007605E0" w:rsidRDefault="00277C1D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bookmarkStart w:id="0" w:name="_Toc3298052"/>
      <w:r w:rsidRPr="007605E0">
        <w:rPr>
          <w:rFonts w:ascii="Palatino Linotype" w:hAnsi="Palatino Linotype" w:cs="Tahoma"/>
          <w:b/>
          <w:szCs w:val="22"/>
        </w:rPr>
        <w:t>PROHLAŠUJE NÁSLEDUJÍCÍ</w:t>
      </w:r>
      <w:r w:rsidRPr="007605E0">
        <w:rPr>
          <w:rFonts w:ascii="Palatino Linotype" w:hAnsi="Palatino Linotype" w:cs="Tahoma"/>
          <w:szCs w:val="22"/>
        </w:rPr>
        <w:t>:</w:t>
      </w:r>
    </w:p>
    <w:p w14:paraId="7D08F234" w14:textId="77777777" w:rsidR="00D64115" w:rsidRPr="007605E0" w:rsidRDefault="00D64115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p w14:paraId="64209C51" w14:textId="296CEAA7" w:rsidR="007605E0" w:rsidRPr="00D64115" w:rsidRDefault="00D64115" w:rsidP="009161C7">
      <w:pPr>
        <w:pStyle w:val="Odstavecseseznamem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bookmarkStart w:id="1" w:name="_Toc493871495"/>
      <w:bookmarkStart w:id="2" w:name="_Toc273963610"/>
      <w:bookmarkStart w:id="3" w:name="_Ref341627003"/>
      <w:bookmarkStart w:id="4" w:name="_Toc277758625"/>
      <w:r w:rsidRPr="00D64115">
        <w:rPr>
          <w:rFonts w:ascii="Palatino Linotype" w:hAnsi="Palatino Linotype" w:cs="Tahoma"/>
          <w:b/>
          <w:szCs w:val="22"/>
        </w:rPr>
        <w:t>DŮVĚRNÉ INFORMACE</w:t>
      </w:r>
      <w:bookmarkEnd w:id="1"/>
    </w:p>
    <w:p w14:paraId="5219B8D9" w14:textId="415DD4B4" w:rsidR="007605E0" w:rsidRPr="00D64115" w:rsidRDefault="007605E0" w:rsidP="00D64115">
      <w:pPr>
        <w:pStyle w:val="Odstavecseseznamem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bookmarkStart w:id="5" w:name="_Ref376425036"/>
      <w:bookmarkEnd w:id="2"/>
      <w:r w:rsidRPr="00D64115">
        <w:rPr>
          <w:rFonts w:ascii="Palatino Linotype" w:hAnsi="Palatino Linotype" w:cs="Tahoma"/>
          <w:szCs w:val="22"/>
        </w:rPr>
        <w:t xml:space="preserve">Pro účely tohoto Prohlášení se za důvěrné informace považují Předmětná část ZD, tedy Předmětná část ZD jako celek a všechny její součásti </w:t>
      </w:r>
      <w:bookmarkEnd w:id="5"/>
      <w:r w:rsidRPr="00D64115">
        <w:rPr>
          <w:rFonts w:ascii="Palatino Linotype" w:hAnsi="Palatino Linotype" w:cs="Tahoma"/>
          <w:szCs w:val="22"/>
        </w:rPr>
        <w:t>(dále jen "</w:t>
      </w:r>
      <w:r w:rsidRPr="00D64115">
        <w:rPr>
          <w:rFonts w:ascii="Palatino Linotype" w:hAnsi="Palatino Linotype" w:cs="Tahoma"/>
          <w:b/>
          <w:szCs w:val="22"/>
        </w:rPr>
        <w:t>Důvěrné informace</w:t>
      </w:r>
      <w:r w:rsidRPr="00D64115">
        <w:rPr>
          <w:rFonts w:ascii="Palatino Linotype" w:hAnsi="Palatino Linotype" w:cs="Tahoma"/>
          <w:szCs w:val="22"/>
        </w:rPr>
        <w:t>").</w:t>
      </w:r>
    </w:p>
    <w:p w14:paraId="3FD54C7A" w14:textId="77777777" w:rsidR="007605E0" w:rsidRPr="007605E0" w:rsidRDefault="007605E0" w:rsidP="00D64115">
      <w:pPr>
        <w:pStyle w:val="Odstavecseseznamem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lastRenderedPageBreak/>
        <w:t>Za Důvěrné informace nebudou považovány informace, které:</w:t>
      </w:r>
    </w:p>
    <w:p w14:paraId="74E3B085" w14:textId="77777777" w:rsidR="007605E0" w:rsidRPr="007605E0" w:rsidRDefault="007605E0" w:rsidP="00D64115">
      <w:pPr>
        <w:pStyle w:val="Odstavecseseznamem"/>
        <w:numPr>
          <w:ilvl w:val="1"/>
          <w:numId w:val="20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</w:p>
    <w:p w14:paraId="5DF7D41A" w14:textId="77777777" w:rsidR="007605E0" w:rsidRPr="007605E0" w:rsidRDefault="007605E0" w:rsidP="00D64115">
      <w:pPr>
        <w:pStyle w:val="Odstavecseseznamem"/>
        <w:numPr>
          <w:ilvl w:val="1"/>
          <w:numId w:val="20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jsou poskytnuty Dodavateli třetí osobou, která má právo s takovou informací volně nakládat a poskytnout ji třetím osobám.</w:t>
      </w:r>
    </w:p>
    <w:p w14:paraId="0790D7F8" w14:textId="77777777" w:rsidR="007605E0" w:rsidRDefault="007605E0" w:rsidP="00D64115">
      <w:pPr>
        <w:pStyle w:val="Odstavecseseznamem"/>
        <w:numPr>
          <w:ilvl w:val="0"/>
          <w:numId w:val="20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si je vědom toho, že Důvěrné informace jsou majetkem Zadavatele a jejich zpřístupnění opravňuje Dodavatele k užití výlučně za účelem výkonu práv a plnění povinností v rámci Zadávacího řízení, a to v minimálním rozsahu, který je k tomu nutný (dále jen "</w:t>
      </w:r>
      <w:r w:rsidRPr="007605E0">
        <w:rPr>
          <w:rFonts w:ascii="Palatino Linotype" w:hAnsi="Palatino Linotype" w:cs="Tahoma"/>
          <w:b/>
          <w:szCs w:val="22"/>
        </w:rPr>
        <w:t>Povolený účel</w:t>
      </w:r>
      <w:r w:rsidRPr="007605E0">
        <w:rPr>
          <w:rFonts w:ascii="Palatino Linotype" w:hAnsi="Palatino Linotype" w:cs="Tahoma"/>
          <w:szCs w:val="22"/>
        </w:rPr>
        <w:t>").</w:t>
      </w:r>
    </w:p>
    <w:p w14:paraId="61BBBD40" w14:textId="77777777" w:rsidR="00D64115" w:rsidRPr="007605E0" w:rsidRDefault="00D64115" w:rsidP="00D64115">
      <w:pPr>
        <w:pStyle w:val="Odstavecseseznamem"/>
        <w:spacing w:after="160" w:line="276" w:lineRule="auto"/>
        <w:ind w:left="714"/>
        <w:contextualSpacing w:val="0"/>
        <w:jc w:val="both"/>
        <w:rPr>
          <w:rFonts w:ascii="Palatino Linotype" w:hAnsi="Palatino Linotype" w:cs="Tahoma"/>
          <w:szCs w:val="22"/>
        </w:rPr>
      </w:pPr>
    </w:p>
    <w:p w14:paraId="5AB9F57F" w14:textId="6B12D797" w:rsidR="007605E0" w:rsidRPr="007605E0" w:rsidRDefault="00D64115" w:rsidP="009161C7">
      <w:pPr>
        <w:pStyle w:val="Odstavecseseznamem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bookmarkStart w:id="6" w:name="_Ref376450424"/>
      <w:bookmarkStart w:id="7" w:name="_Toc493871496"/>
      <w:r w:rsidRPr="007605E0">
        <w:rPr>
          <w:rFonts w:ascii="Palatino Linotype" w:hAnsi="Palatino Linotype" w:cs="Tahoma"/>
          <w:b/>
          <w:szCs w:val="22"/>
        </w:rPr>
        <w:t>POVINNOST ZACHOVÁNÍ DŮVĚRNOSTI</w:t>
      </w:r>
      <w:bookmarkEnd w:id="6"/>
      <w:bookmarkEnd w:id="7"/>
    </w:p>
    <w:p w14:paraId="2B0BF004" w14:textId="77777777" w:rsidR="007605E0" w:rsidRPr="009161C7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9161C7">
        <w:rPr>
          <w:rFonts w:ascii="Palatino Linotype" w:hAnsi="Palatino Linotype" w:cs="Tahoma"/>
          <w:szCs w:val="22"/>
        </w:rPr>
        <w:t xml:space="preserve">Dodavatel prohlašuje a zavazuje se, že: </w:t>
      </w:r>
    </w:p>
    <w:p w14:paraId="04038BFE" w14:textId="77777777" w:rsidR="007605E0" w:rsidRPr="007605E0" w:rsidRDefault="007605E0" w:rsidP="001D0F2F">
      <w:pPr>
        <w:pStyle w:val="Odstavecseseznamem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bude s Důvěrnými informacemi nakládat a využívat je výhradně za účelem odpovídajícím Povolenému účelu a v souladu s podmínkami tohoto Prohlášení.</w:t>
      </w:r>
    </w:p>
    <w:p w14:paraId="171E4E24" w14:textId="60C31305" w:rsidR="007605E0" w:rsidRPr="007605E0" w:rsidRDefault="00071D0C" w:rsidP="001D0F2F">
      <w:pPr>
        <w:pStyle w:val="Odstavecseseznamem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>
        <w:rPr>
          <w:rFonts w:ascii="Palatino Linotype" w:hAnsi="Palatino Linotype" w:cs="Tahoma"/>
          <w:szCs w:val="22"/>
        </w:rPr>
        <w:t>b</w:t>
      </w:r>
      <w:r w:rsidR="007605E0" w:rsidRPr="007605E0">
        <w:rPr>
          <w:rFonts w:ascii="Palatino Linotype" w:hAnsi="Palatino Linotype" w:cs="Tahoma"/>
          <w:szCs w:val="22"/>
        </w:rPr>
        <w:t>ez předchozího písemného souhlasu Zadavatele Dodavatel zejména:</w:t>
      </w:r>
    </w:p>
    <w:p w14:paraId="00A87DC5" w14:textId="7A425CFD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nebude s Důvěrnými informacemi nakládat a neužije Důvěrné informace pro jiné účely než pro Povolený účel, zejména je neužije ke svému prospěchu, nebo ku prospěchu jiné osoby nebo ke škodě nebo jiné újmě Zadavatele; a</w:t>
      </w:r>
    </w:p>
    <w:p w14:paraId="5AED9501" w14:textId="77777777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nesdělí Důvěrné informace, neumožní zpřístupnění obsahu Důvěrných informací, ani jejich částí žádným třetím osobám a neposkytne Důvěrné informace žádné třetí osobě, s výjimkou případů, kdy tak stanoví toto Prohlášení. </w:t>
      </w:r>
    </w:p>
    <w:p w14:paraId="677A282B" w14:textId="77777777" w:rsidR="007605E0" w:rsidRPr="007605E0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je v nezbytném rozsahu vyplývajícím z Povoleného účelu oprávněn zpřístupnit Důvěrné informace nebo jejich část svým statutárním orgánům, vedoucím pracovníkům a zaměstnancům, kteří byli informováni o přijaté povinnosti Dodavatele nesdělit Důvěrné informace a o povaze Důvěrných informací a zavázali se zachovávat mlčenlivost ohledně Důvěrných informací, pokud k tomu nejsou již zavázáni ze zákona.</w:t>
      </w:r>
    </w:p>
    <w:p w14:paraId="5463F900" w14:textId="77777777" w:rsidR="007605E0" w:rsidRPr="007605E0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je v nezbytném rozsahu vyplývajícím z Povoleného účelu oprávněn zpřístupnit Důvěrné informace svým externím poradcům a spolupracovníkům za předpokladu, že tyto osoby jsou vázány povinností zachování důvěrnosti alespoň v rozsahu tohoto Prohlášení.</w:t>
      </w:r>
    </w:p>
    <w:p w14:paraId="1A5446C0" w14:textId="77777777" w:rsidR="007605E0" w:rsidRPr="007605E0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lastRenderedPageBreak/>
        <w:t xml:space="preserve">Dodavatel není vázán povinností nesdělit Důvěrné informace: </w:t>
      </w:r>
    </w:p>
    <w:p w14:paraId="2E2AEDBF" w14:textId="77777777" w:rsidR="007605E0" w:rsidRPr="007605E0" w:rsidRDefault="007605E0" w:rsidP="001D0F2F">
      <w:pPr>
        <w:pStyle w:val="Odstavecseseznamem"/>
        <w:numPr>
          <w:ilvl w:val="1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pokud je jejich zpřístupnění (v nezbytném rozsahu) vyžadováno:</w:t>
      </w:r>
    </w:p>
    <w:p w14:paraId="3FEF827E" w14:textId="77777777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obecně závaznými právními předpisy České republiky;  </w:t>
      </w:r>
    </w:p>
    <w:p w14:paraId="626DE7E6" w14:textId="77777777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státními orgány České republiky nebo jinými orgány státní správy nebo institucemi či osobami pověřenými výkonem státní správy; nebo </w:t>
      </w:r>
    </w:p>
    <w:p w14:paraId="2D665160" w14:textId="77777777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obecným soudem, rozhodčím soudem, smírčím soudem či jiným arbitrážním orgánem, v případě sporů vzniklých z tohoto Prohlášení nebo v souvislosti s ním; nebo </w:t>
      </w:r>
    </w:p>
    <w:p w14:paraId="494C9C27" w14:textId="77777777" w:rsidR="007605E0" w:rsidRPr="007605E0" w:rsidRDefault="007605E0" w:rsidP="001D0F2F">
      <w:pPr>
        <w:pStyle w:val="Odstavecseseznamem"/>
        <w:numPr>
          <w:ilvl w:val="2"/>
          <w:numId w:val="21"/>
        </w:numPr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 xml:space="preserve">jedná-li se o informace, které již prokazatelně vešly ve veřejnou známost jinak než jejich zpřístupněním přímo či nepřímo Dodavatelem. </w:t>
      </w:r>
    </w:p>
    <w:p w14:paraId="1B0F5A90" w14:textId="6C84521C" w:rsidR="007605E0" w:rsidRPr="007605E0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zavazuje uchovávat poskytnuté Důvěrné informace v tajnosti a</w:t>
      </w:r>
      <w:r w:rsidR="00071D0C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nezpřístupnit je s výše uvedenými výjimkami třetím osobám, a to po celou dobu, kdy bude mít Důvěrné informace k dispozici. Dodavatel se zavazuje, že zajistí řádné a</w:t>
      </w:r>
      <w:r w:rsidR="00071D0C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bezpečné uložení veškerých Důvěrných informací. Dodavatel se zavazuje pořizovat kopie dokumentů obsahujících Důvěrné informace jen v takovém rozsahu, jaký je nezbytně nutný pro Povolený účel.</w:t>
      </w:r>
    </w:p>
    <w:p w14:paraId="37120A59" w14:textId="77777777" w:rsidR="007605E0" w:rsidRPr="007605E0" w:rsidRDefault="007605E0" w:rsidP="001D0F2F">
      <w:pPr>
        <w:pStyle w:val="Odstavecseseznamem"/>
        <w:numPr>
          <w:ilvl w:val="0"/>
          <w:numId w:val="21"/>
        </w:numPr>
        <w:tabs>
          <w:tab w:val="num" w:pos="624"/>
        </w:tabs>
        <w:spacing w:after="160" w:line="276" w:lineRule="auto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zavazuje, že písemně zaváže osoby, kterým Důvěrné informace poskytne, povinností chránit Důvěrné informace alespoň ve stejném rozsahu, v jakém je tato povinnost stanovena pro Dodavatele tímto Prohlášením. Dodavatel odpovídá za porušení této povinnosti třetí osobou.</w:t>
      </w:r>
    </w:p>
    <w:p w14:paraId="482E17A7" w14:textId="77777777" w:rsidR="001D0F2F" w:rsidRDefault="001D0F2F" w:rsidP="007605E0">
      <w:pPr>
        <w:spacing w:after="160" w:line="276" w:lineRule="auto"/>
        <w:jc w:val="both"/>
        <w:rPr>
          <w:rFonts w:ascii="Palatino Linotype" w:hAnsi="Palatino Linotype" w:cs="Tahoma"/>
          <w:b/>
          <w:szCs w:val="22"/>
        </w:rPr>
      </w:pPr>
    </w:p>
    <w:p w14:paraId="4A23CF79" w14:textId="402DF31E" w:rsidR="007605E0" w:rsidRPr="007605E0" w:rsidRDefault="001D0F2F" w:rsidP="001D0F2F">
      <w:pPr>
        <w:pStyle w:val="Odstavecseseznamem"/>
        <w:numPr>
          <w:ilvl w:val="0"/>
          <w:numId w:val="19"/>
        </w:numPr>
        <w:spacing w:after="160" w:line="276" w:lineRule="auto"/>
        <w:ind w:left="426" w:hanging="426"/>
        <w:contextualSpacing w:val="0"/>
        <w:jc w:val="both"/>
        <w:rPr>
          <w:rFonts w:ascii="Palatino Linotype" w:hAnsi="Palatino Linotype" w:cs="Tahoma"/>
          <w:b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t>PORUŠENÍ POVINNOSTÍ</w:t>
      </w:r>
    </w:p>
    <w:p w14:paraId="5ADB3850" w14:textId="73ACEEF1" w:rsidR="007605E0" w:rsidRPr="001D0F2F" w:rsidRDefault="007605E0" w:rsidP="001D0F2F">
      <w:pPr>
        <w:pStyle w:val="Odstavecseseznamem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1D0F2F">
        <w:rPr>
          <w:rFonts w:ascii="Palatino Linotype" w:hAnsi="Palatino Linotype" w:cs="Tahoma"/>
          <w:szCs w:val="22"/>
        </w:rPr>
        <w:t xml:space="preserve">Poruší-li Dodavatel jakoukoli povinnost uvedenou v Článku 2 </w:t>
      </w:r>
      <w:r w:rsidRPr="001D0F2F">
        <w:rPr>
          <w:rFonts w:ascii="Palatino Linotype" w:hAnsi="Palatino Linotype" w:cs="Tahoma"/>
          <w:i/>
          <w:szCs w:val="22"/>
        </w:rPr>
        <w:t>(</w:t>
      </w:r>
      <w:r w:rsidRPr="001D0F2F">
        <w:rPr>
          <w:rFonts w:ascii="Palatino Linotype" w:hAnsi="Palatino Linotype" w:cs="Tahoma"/>
          <w:i/>
          <w:szCs w:val="22"/>
        </w:rPr>
        <w:fldChar w:fldCharType="begin"/>
      </w:r>
      <w:r w:rsidRPr="001D0F2F">
        <w:rPr>
          <w:rFonts w:ascii="Palatino Linotype" w:hAnsi="Palatino Linotype" w:cs="Tahoma"/>
          <w:i/>
          <w:szCs w:val="22"/>
        </w:rPr>
        <w:instrText xml:space="preserve"> REF _Ref376450424 \h  \* MERGEFORMAT </w:instrText>
      </w:r>
      <w:r w:rsidRPr="001D0F2F">
        <w:rPr>
          <w:rFonts w:ascii="Palatino Linotype" w:hAnsi="Palatino Linotype" w:cs="Tahoma"/>
          <w:i/>
          <w:szCs w:val="22"/>
        </w:rPr>
      </w:r>
      <w:r w:rsidRPr="001D0F2F">
        <w:rPr>
          <w:rFonts w:ascii="Palatino Linotype" w:hAnsi="Palatino Linotype" w:cs="Tahoma"/>
          <w:i/>
          <w:szCs w:val="22"/>
        </w:rPr>
        <w:fldChar w:fldCharType="separate"/>
      </w:r>
      <w:r w:rsidRPr="001D0F2F">
        <w:rPr>
          <w:rFonts w:ascii="Palatino Linotype" w:hAnsi="Palatino Linotype" w:cs="Tahoma"/>
          <w:i/>
          <w:szCs w:val="22"/>
        </w:rPr>
        <w:t>Povinnost zachování důvěrnosti</w:t>
      </w:r>
      <w:r w:rsidRPr="001D0F2F">
        <w:rPr>
          <w:rFonts w:ascii="Palatino Linotype" w:hAnsi="Palatino Linotype" w:cs="Tahoma"/>
          <w:szCs w:val="22"/>
        </w:rPr>
        <w:fldChar w:fldCharType="end"/>
      </w:r>
      <w:r w:rsidRPr="001D0F2F">
        <w:rPr>
          <w:rFonts w:ascii="Palatino Linotype" w:hAnsi="Palatino Linotype" w:cs="Tahoma"/>
          <w:i/>
          <w:szCs w:val="22"/>
        </w:rPr>
        <w:t xml:space="preserve">) </w:t>
      </w:r>
      <w:r w:rsidRPr="001D0F2F">
        <w:rPr>
          <w:rFonts w:ascii="Palatino Linotype" w:hAnsi="Palatino Linotype" w:cs="Tahoma"/>
          <w:szCs w:val="22"/>
        </w:rPr>
        <w:t xml:space="preserve">tohoto Prohlášení, prohlašuje a zavazuje se, že Zadavateli uhradí částku </w:t>
      </w:r>
      <w:proofErr w:type="gramStart"/>
      <w:r w:rsidRPr="001D0F2F">
        <w:rPr>
          <w:rFonts w:ascii="Palatino Linotype" w:hAnsi="Palatino Linotype" w:cs="Tahoma"/>
          <w:szCs w:val="22"/>
        </w:rPr>
        <w:t>1.000.000,-</w:t>
      </w:r>
      <w:proofErr w:type="gramEnd"/>
      <w:r w:rsidRPr="001D0F2F">
        <w:rPr>
          <w:rFonts w:ascii="Palatino Linotype" w:hAnsi="Palatino Linotype" w:cs="Tahoma"/>
          <w:szCs w:val="22"/>
        </w:rPr>
        <w:t xml:space="preserve"> Kč za každý jednotlivý případ porušení takové povinnosti vyplývající</w:t>
      </w:r>
      <w:r w:rsidR="001D0F2F">
        <w:rPr>
          <w:rFonts w:ascii="Palatino Linotype" w:hAnsi="Palatino Linotype" w:cs="Tahoma"/>
          <w:szCs w:val="22"/>
        </w:rPr>
        <w:t xml:space="preserve"> </w:t>
      </w:r>
      <w:r w:rsidRPr="001D0F2F">
        <w:rPr>
          <w:rFonts w:ascii="Palatino Linotype" w:hAnsi="Palatino Linotype" w:cs="Tahoma"/>
          <w:szCs w:val="22"/>
        </w:rPr>
        <w:t xml:space="preserve">z tohoto Prohlášení. </w:t>
      </w:r>
    </w:p>
    <w:p w14:paraId="270C295C" w14:textId="579B1B8C" w:rsidR="007605E0" w:rsidRPr="007605E0" w:rsidRDefault="007605E0" w:rsidP="001D0F2F">
      <w:pPr>
        <w:pStyle w:val="Odstavecseseznamem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Povinnost k úhradě částky podle Článku 3.1 tohoto Prohlášení platí i v případě, že</w:t>
      </w:r>
      <w:r w:rsidR="00C92DCE">
        <w:rPr>
          <w:rFonts w:ascii="Palatino Linotype" w:hAnsi="Palatino Linotype" w:cs="Tahoma"/>
          <w:szCs w:val="22"/>
        </w:rPr>
        <w:t> </w:t>
      </w:r>
      <w:r w:rsidRPr="007605E0">
        <w:rPr>
          <w:rFonts w:ascii="Palatino Linotype" w:hAnsi="Palatino Linotype" w:cs="Tahoma"/>
          <w:szCs w:val="22"/>
        </w:rPr>
        <w:t>k porušení došlo ze strany třetí osoby (nikoli přímo jednáním Dodavatele), které byly Důvěrné informace Dodavatelem poskytnuty nebo byly poskytnuty osobami, za které Dodavatel odpovídá.</w:t>
      </w:r>
    </w:p>
    <w:p w14:paraId="189B6F2A" w14:textId="77777777" w:rsidR="007605E0" w:rsidRPr="007605E0" w:rsidRDefault="007605E0" w:rsidP="001D0F2F">
      <w:pPr>
        <w:pStyle w:val="Odstavecseseznamem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bookmarkStart w:id="8" w:name="_Ref246858819"/>
      <w:bookmarkStart w:id="9" w:name="_Ref374621315"/>
      <w:bookmarkStart w:id="10" w:name="_Ref374624537"/>
      <w:r w:rsidRPr="007605E0">
        <w:rPr>
          <w:rFonts w:ascii="Palatino Linotype" w:hAnsi="Palatino Linotype" w:cs="Tahoma"/>
          <w:szCs w:val="22"/>
        </w:rPr>
        <w:t xml:space="preserve">Splatnost částky podle Článku 3.1 tohoto Prohlášení je dvacet (20) dnů od doručení </w:t>
      </w:r>
      <w:proofErr w:type="gramStart"/>
      <w:r w:rsidRPr="007605E0">
        <w:rPr>
          <w:rFonts w:ascii="Palatino Linotype" w:hAnsi="Palatino Linotype" w:cs="Tahoma"/>
          <w:szCs w:val="22"/>
        </w:rPr>
        <w:t>výzvy - faktury</w:t>
      </w:r>
      <w:proofErr w:type="gramEnd"/>
      <w:r w:rsidRPr="007605E0">
        <w:rPr>
          <w:rFonts w:ascii="Palatino Linotype" w:hAnsi="Palatino Linotype" w:cs="Tahoma"/>
          <w:szCs w:val="22"/>
        </w:rPr>
        <w:t xml:space="preserve"> Zadavatele k úhradě. </w:t>
      </w:r>
    </w:p>
    <w:p w14:paraId="1E044F57" w14:textId="77777777" w:rsidR="007605E0" w:rsidRPr="007605E0" w:rsidRDefault="007605E0" w:rsidP="001D0F2F">
      <w:pPr>
        <w:pStyle w:val="Odstavecseseznamem"/>
        <w:numPr>
          <w:ilvl w:val="0"/>
          <w:numId w:val="22"/>
        </w:numPr>
        <w:tabs>
          <w:tab w:val="num" w:pos="624"/>
        </w:tabs>
        <w:spacing w:after="160" w:line="276" w:lineRule="auto"/>
        <w:ind w:left="714" w:hanging="357"/>
        <w:contextualSpacing w:val="0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szCs w:val="22"/>
        </w:rPr>
        <w:t>Dodavatel se dále zavazuje, že vedle částky podle Článku 3.1 tohoto Prohlášení Dodavateli nahradí újmu vzniklou v důsledku porušení povinností Dodavatele podle tohoto Prohlášení, a to v její plné výši.</w:t>
      </w:r>
    </w:p>
    <w:bookmarkEnd w:id="0"/>
    <w:bookmarkEnd w:id="3"/>
    <w:bookmarkEnd w:id="4"/>
    <w:bookmarkEnd w:id="8"/>
    <w:bookmarkEnd w:id="9"/>
    <w:bookmarkEnd w:id="10"/>
    <w:p w14:paraId="26646F1C" w14:textId="2C860343" w:rsidR="007605E0" w:rsidRPr="007605E0" w:rsidRDefault="00C92DCE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  <w:r w:rsidRPr="007605E0">
        <w:rPr>
          <w:rFonts w:ascii="Palatino Linotype" w:hAnsi="Palatino Linotype" w:cs="Tahoma"/>
          <w:b/>
          <w:szCs w:val="22"/>
        </w:rPr>
        <w:lastRenderedPageBreak/>
        <w:t>NA DŮKAZ ČEHOŽ</w:t>
      </w:r>
      <w:r w:rsidRPr="007605E0">
        <w:rPr>
          <w:rFonts w:ascii="Palatino Linotype" w:hAnsi="Palatino Linotype" w:cs="Tahoma"/>
          <w:szCs w:val="22"/>
        </w:rPr>
        <w:t xml:space="preserve"> </w:t>
      </w:r>
      <w:r w:rsidR="007605E0" w:rsidRPr="007605E0">
        <w:rPr>
          <w:rFonts w:ascii="Palatino Linotype" w:hAnsi="Palatino Linotype" w:cs="Tahoma"/>
          <w:szCs w:val="22"/>
        </w:rPr>
        <w:t>připojuje Dodavatel podpis následovně:</w:t>
      </w:r>
    </w:p>
    <w:p w14:paraId="760748FB" w14:textId="77777777" w:rsidR="007605E0" w:rsidRPr="007605E0" w:rsidRDefault="007605E0" w:rsidP="007605E0">
      <w:pPr>
        <w:spacing w:after="160" w:line="276" w:lineRule="auto"/>
        <w:jc w:val="both"/>
        <w:rPr>
          <w:rFonts w:ascii="Palatino Linotype" w:hAnsi="Palatino Linotype" w:cs="Tahoma"/>
          <w:szCs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7605E0" w:rsidRPr="007605E0" w14:paraId="1061530C" w14:textId="77777777" w:rsidTr="004D0A4F">
        <w:tc>
          <w:tcPr>
            <w:tcW w:w="4394" w:type="dxa"/>
            <w:shd w:val="clear" w:color="auto" w:fill="auto"/>
          </w:tcPr>
          <w:p w14:paraId="1087ADC9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Podpis: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  <w:t>_________________________</w:t>
            </w:r>
          </w:p>
        </w:tc>
        <w:tc>
          <w:tcPr>
            <w:tcW w:w="4252" w:type="dxa"/>
            <w:shd w:val="clear" w:color="auto" w:fill="auto"/>
          </w:tcPr>
          <w:p w14:paraId="4022C160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16781222" w14:textId="77777777" w:rsidTr="004D0A4F">
        <w:tc>
          <w:tcPr>
            <w:tcW w:w="4394" w:type="dxa"/>
            <w:shd w:val="clear" w:color="auto" w:fill="auto"/>
          </w:tcPr>
          <w:p w14:paraId="00BBBEAB" w14:textId="4C0027AE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Jméno: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</w:r>
            <w:r w:rsidR="004D0A4F" w:rsidRPr="007605E0">
              <w:rPr>
                <w:rFonts w:ascii="Palatino Linotype" w:hAnsi="Palatino Linotype" w:cs="Tahoma"/>
                <w:szCs w:val="22"/>
              </w:rPr>
              <w:tab/>
            </w:r>
            <w:r w:rsidR="004D0A4F" w:rsidRPr="007605E0">
              <w:rPr>
                <w:rFonts w:ascii="Palatino Linotype" w:hAnsi="Palatino Linotype" w:cs="Tahoma"/>
                <w:i/>
                <w:szCs w:val="22"/>
              </w:rPr>
              <w:t xml:space="preserve"> 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[</w:t>
            </w:r>
            <w:r w:rsidRPr="007605E0">
              <w:rPr>
                <w:rFonts w:ascii="Palatino Linotype" w:hAnsi="Palatino Linotype" w:cs="Tahoma"/>
                <w:i/>
                <w:szCs w:val="22"/>
                <w:highlight w:val="yellow"/>
              </w:rPr>
              <w:t>doplní dodavatel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]</w:t>
            </w:r>
          </w:p>
        </w:tc>
        <w:tc>
          <w:tcPr>
            <w:tcW w:w="4252" w:type="dxa"/>
            <w:shd w:val="clear" w:color="auto" w:fill="auto"/>
          </w:tcPr>
          <w:p w14:paraId="3D8E484A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6C2AF6A4" w14:textId="77777777" w:rsidTr="004D0A4F">
        <w:tc>
          <w:tcPr>
            <w:tcW w:w="4394" w:type="dxa"/>
            <w:shd w:val="clear" w:color="auto" w:fill="auto"/>
          </w:tcPr>
          <w:p w14:paraId="175C59BA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Funkce: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[</w:t>
            </w:r>
            <w:r w:rsidRPr="007605E0">
              <w:rPr>
                <w:rFonts w:ascii="Palatino Linotype" w:hAnsi="Palatino Linotype" w:cs="Tahoma"/>
                <w:i/>
                <w:szCs w:val="22"/>
                <w:highlight w:val="yellow"/>
              </w:rPr>
              <w:t>doplní dodavatel</w:t>
            </w:r>
            <w:r w:rsidRPr="007605E0">
              <w:rPr>
                <w:rFonts w:ascii="Palatino Linotype" w:hAnsi="Palatino Linotype" w:cs="Tahoma"/>
                <w:i/>
                <w:szCs w:val="22"/>
              </w:rPr>
              <w:t>]</w:t>
            </w:r>
          </w:p>
        </w:tc>
        <w:tc>
          <w:tcPr>
            <w:tcW w:w="4252" w:type="dxa"/>
            <w:shd w:val="clear" w:color="auto" w:fill="auto"/>
          </w:tcPr>
          <w:p w14:paraId="4CEAF0F6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  <w:tr w:rsidR="007605E0" w:rsidRPr="007605E0" w14:paraId="2BBCB168" w14:textId="77777777" w:rsidTr="004D0A4F">
        <w:tc>
          <w:tcPr>
            <w:tcW w:w="4394" w:type="dxa"/>
            <w:shd w:val="clear" w:color="auto" w:fill="auto"/>
          </w:tcPr>
          <w:p w14:paraId="4744D349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  <w:r w:rsidRPr="007605E0">
              <w:rPr>
                <w:rFonts w:ascii="Palatino Linotype" w:hAnsi="Palatino Linotype" w:cs="Tahoma"/>
                <w:szCs w:val="22"/>
              </w:rPr>
              <w:t>Datum:</w:t>
            </w:r>
            <w:r w:rsidRPr="007605E0">
              <w:rPr>
                <w:rFonts w:ascii="Palatino Linotype" w:hAnsi="Palatino Linotype" w:cs="Tahoma"/>
                <w:szCs w:val="22"/>
              </w:rPr>
              <w:tab/>
              <w:t>______________</w:t>
            </w:r>
          </w:p>
        </w:tc>
        <w:tc>
          <w:tcPr>
            <w:tcW w:w="4252" w:type="dxa"/>
            <w:shd w:val="clear" w:color="auto" w:fill="auto"/>
          </w:tcPr>
          <w:p w14:paraId="366A6BF7" w14:textId="77777777" w:rsidR="007605E0" w:rsidRPr="007605E0" w:rsidRDefault="007605E0" w:rsidP="007605E0">
            <w:pPr>
              <w:spacing w:after="160" w:line="276" w:lineRule="auto"/>
              <w:jc w:val="both"/>
              <w:rPr>
                <w:rFonts w:ascii="Palatino Linotype" w:hAnsi="Palatino Linotype" w:cs="Tahoma"/>
                <w:szCs w:val="22"/>
              </w:rPr>
            </w:pPr>
          </w:p>
        </w:tc>
      </w:tr>
    </w:tbl>
    <w:p w14:paraId="1D982429" w14:textId="2B1D6C4C" w:rsidR="00900915" w:rsidRPr="003350FD" w:rsidRDefault="00900915" w:rsidP="00DA140C">
      <w:pPr>
        <w:spacing w:after="160" w:line="276" w:lineRule="auto"/>
        <w:rPr>
          <w:rFonts w:ascii="Palatino Linotype" w:hAnsi="Palatino Linotype" w:cs="Tahoma"/>
          <w:szCs w:val="22"/>
        </w:rPr>
      </w:pPr>
    </w:p>
    <w:sectPr w:rsidR="00900915" w:rsidRPr="003350FD" w:rsidSect="00B54987">
      <w:footerReference w:type="default" r:id="rId11"/>
      <w:headerReference w:type="first" r:id="rId12"/>
      <w:pgSz w:w="11906" w:h="16838"/>
      <w:pgMar w:top="1418" w:right="1418" w:bottom="1418" w:left="1418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2E762" w14:textId="77777777" w:rsidR="002B6541" w:rsidRDefault="002B6541">
      <w:r>
        <w:separator/>
      </w:r>
    </w:p>
  </w:endnote>
  <w:endnote w:type="continuationSeparator" w:id="0">
    <w:p w14:paraId="4354B2E4" w14:textId="77777777" w:rsidR="002B6541" w:rsidRDefault="002B6541">
      <w:r>
        <w:continuationSeparator/>
      </w:r>
    </w:p>
  </w:endnote>
  <w:endnote w:type="continuationNotice" w:id="1">
    <w:p w14:paraId="2AADF16C" w14:textId="77777777" w:rsidR="002B6541" w:rsidRDefault="002B6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7843941"/>
      <w:docPartObj>
        <w:docPartGallery w:val="Page Numbers (Bottom of Page)"/>
        <w:docPartUnique/>
      </w:docPartObj>
    </w:sdtPr>
    <w:sdtEndPr>
      <w:rPr>
        <w:rFonts w:ascii="Aptos" w:hAnsi="Aptos"/>
        <w:sz w:val="22"/>
        <w:szCs w:val="22"/>
      </w:rPr>
    </w:sdtEndPr>
    <w:sdtContent>
      <w:p w14:paraId="5F6E2A52" w14:textId="77777777" w:rsidR="00CC324C" w:rsidRPr="0009433F" w:rsidRDefault="0094052D">
        <w:pPr>
          <w:pStyle w:val="Zpat"/>
          <w:jc w:val="center"/>
          <w:rPr>
            <w:rFonts w:ascii="Aptos" w:hAnsi="Aptos"/>
            <w:sz w:val="22"/>
            <w:szCs w:val="22"/>
          </w:rPr>
        </w:pPr>
        <w:r w:rsidRPr="0009433F">
          <w:rPr>
            <w:rFonts w:ascii="Aptos" w:hAnsi="Aptos"/>
            <w:sz w:val="22"/>
            <w:szCs w:val="22"/>
          </w:rPr>
          <w:fldChar w:fldCharType="begin"/>
        </w:r>
        <w:r w:rsidRPr="0009433F">
          <w:rPr>
            <w:rFonts w:ascii="Aptos" w:hAnsi="Aptos"/>
            <w:sz w:val="22"/>
            <w:szCs w:val="22"/>
          </w:rPr>
          <w:instrText>PAGE   \* MERGEFORMAT</w:instrText>
        </w:r>
        <w:r w:rsidRPr="0009433F">
          <w:rPr>
            <w:rFonts w:ascii="Aptos" w:hAnsi="Aptos"/>
            <w:sz w:val="22"/>
            <w:szCs w:val="22"/>
          </w:rPr>
          <w:fldChar w:fldCharType="separate"/>
        </w:r>
        <w:r w:rsidRPr="0009433F">
          <w:rPr>
            <w:rFonts w:ascii="Aptos" w:hAnsi="Aptos"/>
            <w:sz w:val="22"/>
            <w:szCs w:val="22"/>
          </w:rPr>
          <w:t>2</w:t>
        </w:r>
        <w:r w:rsidRPr="0009433F">
          <w:rPr>
            <w:rFonts w:ascii="Aptos" w:hAnsi="Aptos"/>
            <w:sz w:val="22"/>
            <w:szCs w:val="22"/>
          </w:rPr>
          <w:fldChar w:fldCharType="end"/>
        </w:r>
      </w:p>
    </w:sdtContent>
  </w:sdt>
  <w:p w14:paraId="205A7391" w14:textId="77777777" w:rsidR="00CC324C" w:rsidRPr="002E6BCC" w:rsidRDefault="00CC324C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C560" w14:textId="77777777" w:rsidR="002B6541" w:rsidRDefault="002B6541">
      <w:r>
        <w:separator/>
      </w:r>
    </w:p>
  </w:footnote>
  <w:footnote w:type="continuationSeparator" w:id="0">
    <w:p w14:paraId="29007B39" w14:textId="77777777" w:rsidR="002B6541" w:rsidRDefault="002B6541">
      <w:r>
        <w:continuationSeparator/>
      </w:r>
    </w:p>
  </w:footnote>
  <w:footnote w:type="continuationNotice" w:id="1">
    <w:p w14:paraId="6C0F0025" w14:textId="77777777" w:rsidR="002B6541" w:rsidRDefault="002B6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24F3" w14:textId="77777777" w:rsidR="00CC324C" w:rsidRPr="008715F5" w:rsidRDefault="0094052D">
    <w:pPr>
      <w:pStyle w:val="Zhlav"/>
      <w:tabs>
        <w:tab w:val="clear" w:pos="8306"/>
        <w:tab w:val="right" w:pos="9360"/>
      </w:tabs>
    </w:pPr>
    <w:r>
      <w:rPr>
        <w:b/>
      </w:rPr>
      <w:t>Zařízení služeb</w:t>
    </w:r>
    <w:r w:rsidRPr="00972039">
      <w:rPr>
        <w:b/>
      </w:rPr>
      <w:t xml:space="preserve"> pro Ministerstvo vnitra</w:t>
    </w:r>
    <w:r>
      <w:rPr>
        <w:b/>
      </w:rPr>
      <w:tab/>
    </w:r>
    <w:r>
      <w:t xml:space="preserve">                                  </w:t>
    </w:r>
    <w:proofErr w:type="gramStart"/>
    <w:r>
      <w:t xml:space="preserve">   </w:t>
    </w:r>
    <w:r w:rsidRPr="00387294">
      <w:t>„</w:t>
    </w:r>
    <w:proofErr w:type="gramEnd"/>
    <w:r>
      <w:t>R</w:t>
    </w:r>
    <w:r>
      <w:rPr>
        <w:color w:val="000000"/>
      </w:rPr>
      <w:t xml:space="preserve">ozšíření záložního výpočetního </w:t>
    </w:r>
  </w:p>
  <w:p w14:paraId="4C7C4575" w14:textId="77777777" w:rsidR="00CC324C" w:rsidRDefault="0094052D">
    <w:pPr>
      <w:pStyle w:val="Zhlav"/>
      <w:tabs>
        <w:tab w:val="clear" w:pos="8306"/>
        <w:tab w:val="left" w:pos="5220"/>
        <w:tab w:val="right" w:pos="9000"/>
      </w:tabs>
    </w:pPr>
    <w:r w:rsidRPr="00972039">
      <w:rPr>
        <w:b/>
      </w:rPr>
      <w:t>příspěvková organizace</w:t>
    </w:r>
    <w:r w:rsidRPr="00C3731F">
      <w:rPr>
        <w:color w:val="000000"/>
      </w:rPr>
      <w:tab/>
    </w:r>
    <w:r>
      <w:rPr>
        <w:color w:val="000000"/>
      </w:rPr>
      <w:t xml:space="preserve">                                                                   střediska (ZVS) – Centrotex“                                       </w:t>
    </w:r>
    <w:r>
      <w:tab/>
      <w:t xml:space="preserve">       </w:t>
    </w:r>
  </w:p>
  <w:p w14:paraId="568188C5" w14:textId="77777777" w:rsidR="00CC324C" w:rsidRDefault="0094052D">
    <w:pPr>
      <w:pStyle w:val="Zhlav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329F"/>
    <w:multiLevelType w:val="hybridMultilevel"/>
    <w:tmpl w:val="97BA695E"/>
    <w:lvl w:ilvl="0" w:tplc="08AAC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2936"/>
    <w:multiLevelType w:val="hybridMultilevel"/>
    <w:tmpl w:val="13D2BDD4"/>
    <w:lvl w:ilvl="0" w:tplc="F2A401CA">
      <w:start w:val="2"/>
      <w:numFmt w:val="bullet"/>
      <w:lvlText w:val="-"/>
      <w:lvlJc w:val="left"/>
      <w:pPr>
        <w:ind w:left="984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" w15:restartNumberingAfterBreak="0">
    <w:nsid w:val="14506FF7"/>
    <w:multiLevelType w:val="hybridMultilevel"/>
    <w:tmpl w:val="6CC2E5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B3E3A"/>
    <w:multiLevelType w:val="hybridMultilevel"/>
    <w:tmpl w:val="E332A6D2"/>
    <w:lvl w:ilvl="0" w:tplc="04050017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21127923"/>
    <w:multiLevelType w:val="hybridMultilevel"/>
    <w:tmpl w:val="21926AEA"/>
    <w:lvl w:ilvl="0" w:tplc="0405000F">
      <w:start w:val="1"/>
      <w:numFmt w:val="decimal"/>
      <w:lvlText w:val="%1."/>
      <w:lvlJc w:val="left"/>
      <w:pPr>
        <w:ind w:left="-17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059" w:hanging="360"/>
      </w:pPr>
    </w:lvl>
    <w:lvl w:ilvl="2" w:tplc="0405001B" w:tentative="1">
      <w:start w:val="1"/>
      <w:numFmt w:val="lowerRoman"/>
      <w:lvlText w:val="%3."/>
      <w:lvlJc w:val="right"/>
      <w:pPr>
        <w:ind w:left="-339" w:hanging="180"/>
      </w:pPr>
    </w:lvl>
    <w:lvl w:ilvl="3" w:tplc="0405000F" w:tentative="1">
      <w:start w:val="1"/>
      <w:numFmt w:val="decimal"/>
      <w:lvlText w:val="%4."/>
      <w:lvlJc w:val="left"/>
      <w:pPr>
        <w:ind w:left="381" w:hanging="360"/>
      </w:pPr>
    </w:lvl>
    <w:lvl w:ilvl="4" w:tplc="04050019" w:tentative="1">
      <w:start w:val="1"/>
      <w:numFmt w:val="lowerLetter"/>
      <w:lvlText w:val="%5."/>
      <w:lvlJc w:val="left"/>
      <w:pPr>
        <w:ind w:left="1101" w:hanging="360"/>
      </w:pPr>
    </w:lvl>
    <w:lvl w:ilvl="5" w:tplc="0405001B" w:tentative="1">
      <w:start w:val="1"/>
      <w:numFmt w:val="lowerRoman"/>
      <w:lvlText w:val="%6."/>
      <w:lvlJc w:val="right"/>
      <w:pPr>
        <w:ind w:left="1821" w:hanging="180"/>
      </w:pPr>
    </w:lvl>
    <w:lvl w:ilvl="6" w:tplc="0405000F" w:tentative="1">
      <w:start w:val="1"/>
      <w:numFmt w:val="decimal"/>
      <w:lvlText w:val="%7."/>
      <w:lvlJc w:val="left"/>
      <w:pPr>
        <w:ind w:left="2541" w:hanging="360"/>
      </w:pPr>
    </w:lvl>
    <w:lvl w:ilvl="7" w:tplc="04050019" w:tentative="1">
      <w:start w:val="1"/>
      <w:numFmt w:val="lowerLetter"/>
      <w:lvlText w:val="%8."/>
      <w:lvlJc w:val="left"/>
      <w:pPr>
        <w:ind w:left="3261" w:hanging="360"/>
      </w:pPr>
    </w:lvl>
    <w:lvl w:ilvl="8" w:tplc="0405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5" w15:restartNumberingAfterBreak="0">
    <w:nsid w:val="28AE58AB"/>
    <w:multiLevelType w:val="hybridMultilevel"/>
    <w:tmpl w:val="B2D87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31852"/>
    <w:multiLevelType w:val="hybridMultilevel"/>
    <w:tmpl w:val="E332A6D2"/>
    <w:lvl w:ilvl="0" w:tplc="FFFFFFFF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29670375"/>
    <w:multiLevelType w:val="hybridMultilevel"/>
    <w:tmpl w:val="870AF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2F7"/>
    <w:multiLevelType w:val="hybridMultilevel"/>
    <w:tmpl w:val="3AA086B2"/>
    <w:lvl w:ilvl="0" w:tplc="5E9AA33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C3963"/>
    <w:multiLevelType w:val="hybridMultilevel"/>
    <w:tmpl w:val="78E66B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159C6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44A1D"/>
    <w:multiLevelType w:val="hybridMultilevel"/>
    <w:tmpl w:val="798A06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F348560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="Tahoma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A5A96"/>
    <w:multiLevelType w:val="hybridMultilevel"/>
    <w:tmpl w:val="32D21C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34649"/>
    <w:multiLevelType w:val="hybridMultilevel"/>
    <w:tmpl w:val="32DC697C"/>
    <w:lvl w:ilvl="0" w:tplc="432088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26878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408B7"/>
    <w:multiLevelType w:val="hybridMultilevel"/>
    <w:tmpl w:val="0AC0C8FE"/>
    <w:lvl w:ilvl="0" w:tplc="EE0CD1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F541A"/>
    <w:multiLevelType w:val="hybridMultilevel"/>
    <w:tmpl w:val="83523FEC"/>
    <w:lvl w:ilvl="0" w:tplc="08AAC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D391B"/>
    <w:multiLevelType w:val="hybridMultilevel"/>
    <w:tmpl w:val="69A8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44C3C"/>
    <w:multiLevelType w:val="hybridMultilevel"/>
    <w:tmpl w:val="2CB6A866"/>
    <w:lvl w:ilvl="0" w:tplc="FFFFFFFF">
      <w:start w:val="1"/>
      <w:numFmt w:val="decimal"/>
      <w:lvlText w:val="%1."/>
      <w:lvlJc w:val="left"/>
      <w:pPr>
        <w:ind w:left="8159" w:hanging="360"/>
      </w:pPr>
    </w:lvl>
    <w:lvl w:ilvl="1" w:tplc="FFFFFFFF" w:tentative="1">
      <w:start w:val="1"/>
      <w:numFmt w:val="lowerLetter"/>
      <w:lvlText w:val="%2."/>
      <w:lvlJc w:val="left"/>
      <w:pPr>
        <w:ind w:left="2718" w:hanging="360"/>
      </w:pPr>
    </w:lvl>
    <w:lvl w:ilvl="2" w:tplc="FFFFFFFF" w:tentative="1">
      <w:start w:val="1"/>
      <w:numFmt w:val="lowerRoman"/>
      <w:lvlText w:val="%3."/>
      <w:lvlJc w:val="right"/>
      <w:pPr>
        <w:ind w:left="3438" w:hanging="180"/>
      </w:pPr>
    </w:lvl>
    <w:lvl w:ilvl="3" w:tplc="FFFFFFFF" w:tentative="1">
      <w:start w:val="1"/>
      <w:numFmt w:val="decimal"/>
      <w:lvlText w:val="%4."/>
      <w:lvlJc w:val="left"/>
      <w:pPr>
        <w:ind w:left="4158" w:hanging="360"/>
      </w:pPr>
    </w:lvl>
    <w:lvl w:ilvl="4" w:tplc="FFFFFFFF" w:tentative="1">
      <w:start w:val="1"/>
      <w:numFmt w:val="lowerLetter"/>
      <w:lvlText w:val="%5."/>
      <w:lvlJc w:val="left"/>
      <w:pPr>
        <w:ind w:left="4878" w:hanging="360"/>
      </w:pPr>
    </w:lvl>
    <w:lvl w:ilvl="5" w:tplc="FFFFFFFF" w:tentative="1">
      <w:start w:val="1"/>
      <w:numFmt w:val="lowerRoman"/>
      <w:lvlText w:val="%6."/>
      <w:lvlJc w:val="right"/>
      <w:pPr>
        <w:ind w:left="5598" w:hanging="180"/>
      </w:pPr>
    </w:lvl>
    <w:lvl w:ilvl="6" w:tplc="FFFFFFFF" w:tentative="1">
      <w:start w:val="1"/>
      <w:numFmt w:val="decimal"/>
      <w:lvlText w:val="%7."/>
      <w:lvlJc w:val="left"/>
      <w:pPr>
        <w:ind w:left="6318" w:hanging="360"/>
      </w:pPr>
    </w:lvl>
    <w:lvl w:ilvl="7" w:tplc="FFFFFFFF" w:tentative="1">
      <w:start w:val="1"/>
      <w:numFmt w:val="lowerLetter"/>
      <w:lvlText w:val="%8."/>
      <w:lvlJc w:val="left"/>
      <w:pPr>
        <w:ind w:left="7038" w:hanging="360"/>
      </w:pPr>
    </w:lvl>
    <w:lvl w:ilvl="8" w:tplc="FFFFFFFF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 w15:restartNumberingAfterBreak="0">
    <w:nsid w:val="6B0D247E"/>
    <w:multiLevelType w:val="hybridMultilevel"/>
    <w:tmpl w:val="E332A6D2"/>
    <w:lvl w:ilvl="0" w:tplc="FFFFFFFF">
      <w:start w:val="1"/>
      <w:numFmt w:val="lowerLetter"/>
      <w:lvlText w:val="%1)"/>
      <w:lvlJc w:val="left"/>
      <w:pPr>
        <w:ind w:left="1284" w:hanging="360"/>
      </w:p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0" w15:restartNumberingAfterBreak="0">
    <w:nsid w:val="7BC8751D"/>
    <w:multiLevelType w:val="hybridMultilevel"/>
    <w:tmpl w:val="69A8E6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F10FD0"/>
    <w:multiLevelType w:val="hybridMultilevel"/>
    <w:tmpl w:val="8A904E2C"/>
    <w:lvl w:ilvl="0" w:tplc="48380AC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92723">
    <w:abstractNumId w:val="20"/>
  </w:num>
  <w:num w:numId="2" w16cid:durableId="1339891382">
    <w:abstractNumId w:val="12"/>
  </w:num>
  <w:num w:numId="3" w16cid:durableId="1743601643">
    <w:abstractNumId w:val="5"/>
  </w:num>
  <w:num w:numId="4" w16cid:durableId="1783260615">
    <w:abstractNumId w:val="14"/>
  </w:num>
  <w:num w:numId="5" w16cid:durableId="1854763983">
    <w:abstractNumId w:val="7"/>
  </w:num>
  <w:num w:numId="6" w16cid:durableId="821583080">
    <w:abstractNumId w:val="10"/>
  </w:num>
  <w:num w:numId="7" w16cid:durableId="495077839">
    <w:abstractNumId w:val="17"/>
  </w:num>
  <w:num w:numId="8" w16cid:durableId="1138230760">
    <w:abstractNumId w:val="18"/>
  </w:num>
  <w:num w:numId="9" w16cid:durableId="702947927">
    <w:abstractNumId w:val="2"/>
  </w:num>
  <w:num w:numId="10" w16cid:durableId="2095085328">
    <w:abstractNumId w:val="3"/>
  </w:num>
  <w:num w:numId="11" w16cid:durableId="923806784">
    <w:abstractNumId w:val="9"/>
  </w:num>
  <w:num w:numId="12" w16cid:durableId="1852717339">
    <w:abstractNumId w:val="0"/>
  </w:num>
  <w:num w:numId="13" w16cid:durableId="1465276740">
    <w:abstractNumId w:val="16"/>
  </w:num>
  <w:num w:numId="14" w16cid:durableId="1564758533">
    <w:abstractNumId w:val="11"/>
  </w:num>
  <w:num w:numId="15" w16cid:durableId="1074546981">
    <w:abstractNumId w:val="6"/>
  </w:num>
  <w:num w:numId="16" w16cid:durableId="1040130154">
    <w:abstractNumId w:val="19"/>
  </w:num>
  <w:num w:numId="17" w16cid:durableId="1601641590">
    <w:abstractNumId w:val="1"/>
  </w:num>
  <w:num w:numId="18" w16cid:durableId="1570532353">
    <w:abstractNumId w:val="13"/>
  </w:num>
  <w:num w:numId="19" w16cid:durableId="1213033752">
    <w:abstractNumId w:val="4"/>
  </w:num>
  <w:num w:numId="20" w16cid:durableId="1331328381">
    <w:abstractNumId w:val="21"/>
  </w:num>
  <w:num w:numId="21" w16cid:durableId="1791241283">
    <w:abstractNumId w:val="8"/>
  </w:num>
  <w:num w:numId="22" w16cid:durableId="21466581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87"/>
    <w:rsid w:val="00041569"/>
    <w:rsid w:val="00071D0C"/>
    <w:rsid w:val="000B07EE"/>
    <w:rsid w:val="00117347"/>
    <w:rsid w:val="001232FA"/>
    <w:rsid w:val="00172720"/>
    <w:rsid w:val="00174790"/>
    <w:rsid w:val="00192055"/>
    <w:rsid w:val="00195CE3"/>
    <w:rsid w:val="001C236D"/>
    <w:rsid w:val="001D0F2F"/>
    <w:rsid w:val="0025140C"/>
    <w:rsid w:val="00276932"/>
    <w:rsid w:val="00277C1D"/>
    <w:rsid w:val="00280049"/>
    <w:rsid w:val="002B6541"/>
    <w:rsid w:val="002D71DA"/>
    <w:rsid w:val="002E364C"/>
    <w:rsid w:val="002E7FBD"/>
    <w:rsid w:val="00304364"/>
    <w:rsid w:val="00316C34"/>
    <w:rsid w:val="003350FD"/>
    <w:rsid w:val="0039403A"/>
    <w:rsid w:val="003F3A93"/>
    <w:rsid w:val="00463415"/>
    <w:rsid w:val="004B3F5E"/>
    <w:rsid w:val="004C4D47"/>
    <w:rsid w:val="004C4DB0"/>
    <w:rsid w:val="004D0A4F"/>
    <w:rsid w:val="00506719"/>
    <w:rsid w:val="00526C7A"/>
    <w:rsid w:val="00560966"/>
    <w:rsid w:val="005D07D0"/>
    <w:rsid w:val="005E0AEB"/>
    <w:rsid w:val="00604BC6"/>
    <w:rsid w:val="00605C78"/>
    <w:rsid w:val="00641C41"/>
    <w:rsid w:val="006609B5"/>
    <w:rsid w:val="00691D6E"/>
    <w:rsid w:val="006B4279"/>
    <w:rsid w:val="006C4814"/>
    <w:rsid w:val="006F7F02"/>
    <w:rsid w:val="007057D8"/>
    <w:rsid w:val="0072546A"/>
    <w:rsid w:val="007605E0"/>
    <w:rsid w:val="00792A19"/>
    <w:rsid w:val="007941E0"/>
    <w:rsid w:val="008565FA"/>
    <w:rsid w:val="008A0095"/>
    <w:rsid w:val="008A4AA1"/>
    <w:rsid w:val="00900915"/>
    <w:rsid w:val="009077DE"/>
    <w:rsid w:val="009149A1"/>
    <w:rsid w:val="009161C7"/>
    <w:rsid w:val="00927BB1"/>
    <w:rsid w:val="0094052D"/>
    <w:rsid w:val="00980A8D"/>
    <w:rsid w:val="00981E2B"/>
    <w:rsid w:val="009F38DE"/>
    <w:rsid w:val="00A25344"/>
    <w:rsid w:val="00A670A0"/>
    <w:rsid w:val="00B01F59"/>
    <w:rsid w:val="00B1415D"/>
    <w:rsid w:val="00B20426"/>
    <w:rsid w:val="00B531D3"/>
    <w:rsid w:val="00B54987"/>
    <w:rsid w:val="00BA157E"/>
    <w:rsid w:val="00BC3DF3"/>
    <w:rsid w:val="00BE189D"/>
    <w:rsid w:val="00C2126A"/>
    <w:rsid w:val="00C26185"/>
    <w:rsid w:val="00C56A72"/>
    <w:rsid w:val="00C83522"/>
    <w:rsid w:val="00C92DCE"/>
    <w:rsid w:val="00CB3468"/>
    <w:rsid w:val="00CC324C"/>
    <w:rsid w:val="00CE6069"/>
    <w:rsid w:val="00CF1D49"/>
    <w:rsid w:val="00D03C79"/>
    <w:rsid w:val="00D2342D"/>
    <w:rsid w:val="00D3322D"/>
    <w:rsid w:val="00D4152F"/>
    <w:rsid w:val="00D64115"/>
    <w:rsid w:val="00D71047"/>
    <w:rsid w:val="00DA140C"/>
    <w:rsid w:val="00DC284E"/>
    <w:rsid w:val="00DD6C0D"/>
    <w:rsid w:val="00DF4113"/>
    <w:rsid w:val="00E2362C"/>
    <w:rsid w:val="00E32033"/>
    <w:rsid w:val="00E36755"/>
    <w:rsid w:val="00E429E8"/>
    <w:rsid w:val="00E83307"/>
    <w:rsid w:val="00EB3251"/>
    <w:rsid w:val="00EC387C"/>
    <w:rsid w:val="00F54970"/>
    <w:rsid w:val="00FC0DCC"/>
    <w:rsid w:val="00FD29BA"/>
    <w:rsid w:val="087A7F96"/>
    <w:rsid w:val="2177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C7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4987"/>
    <w:pPr>
      <w:spacing w:after="0" w:line="240" w:lineRule="auto"/>
    </w:pPr>
    <w:rPr>
      <w:rFonts w:ascii="Arial" w:eastAsia="Calibri" w:hAnsi="Arial" w:cs="Times New Roman"/>
      <w:kern w:val="0"/>
      <w:sz w:val="2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54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54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49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54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49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49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49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49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49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4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4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4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498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498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49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49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49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498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49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54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4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54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4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54987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B5498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5498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4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498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498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B54987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54987"/>
    <w:rPr>
      <w:rFonts w:ascii="Times New Roman" w:eastAsia="Calibri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B54987"/>
    <w:pPr>
      <w:tabs>
        <w:tab w:val="center" w:pos="4536"/>
        <w:tab w:val="right" w:pos="9072"/>
      </w:tabs>
    </w:pPr>
    <w:rPr>
      <w:rFonts w:ascii="Verdana" w:hAnsi="Verdana" w:cs="Courier New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B54987"/>
    <w:rPr>
      <w:rFonts w:ascii="Verdana" w:eastAsia="Calibri" w:hAnsi="Verdana" w:cs="Courier New"/>
      <w:kern w:val="0"/>
      <w:sz w:val="16"/>
      <w:lang w:eastAsia="cs-CZ"/>
      <w14:ligatures w14:val="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54987"/>
  </w:style>
  <w:style w:type="table" w:styleId="Mkatabulky">
    <w:name w:val="Table Grid"/>
    <w:basedOn w:val="Normlntabulka"/>
    <w:uiPriority w:val="59"/>
    <w:rsid w:val="00B5498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rsid w:val="005E0AEB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5E0AEB"/>
    <w:rPr>
      <w:rFonts w:ascii="Calibri" w:hAnsi="Calibri"/>
      <w:sz w:val="20"/>
      <w:szCs w:val="20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E0AEB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E2476-1112-4697-BFC5-1AE6DFC783A6}"/>
</file>

<file path=customXml/itemProps2.xml><?xml version="1.0" encoding="utf-8"?>
<ds:datastoreItem xmlns:ds="http://schemas.openxmlformats.org/officeDocument/2006/customXml" ds:itemID="{EA4671A1-2684-4290-9C9F-996D00A6A92B}"/>
</file>

<file path=customXml/itemProps3.xml><?xml version="1.0" encoding="utf-8"?>
<ds:datastoreItem xmlns:ds="http://schemas.openxmlformats.org/officeDocument/2006/customXml" ds:itemID="{6EFABA59-7422-4267-A1AE-5ED90B0AEC11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